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b/>
          <w:color w:val="auto"/>
          <w:sz w:val="44"/>
          <w:szCs w:val="44"/>
        </w:rPr>
        <w:t>提请</w:t>
      </w:r>
      <w:r>
        <w:rPr>
          <w:rFonts w:hint="eastAsia"/>
          <w:b/>
          <w:color w:val="auto"/>
          <w:sz w:val="44"/>
          <w:szCs w:val="44"/>
          <w:lang w:eastAsia="zh-CN"/>
        </w:rPr>
        <w:t>假释</w:t>
      </w:r>
      <w:r>
        <w:rPr>
          <w:rFonts w:hint="eastAsia"/>
          <w:b/>
          <w:color w:val="auto"/>
          <w:sz w:val="44"/>
          <w:szCs w:val="44"/>
        </w:rPr>
        <w:t>建议书</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ascii="仿宋_GB2312" w:eastAsia="仿宋_GB2312"/>
          <w:color w:val="auto"/>
          <w:sz w:val="32"/>
          <w:szCs w:val="32"/>
        </w:rPr>
      </w:pPr>
      <w:r>
        <w:rPr>
          <w:rFonts w:hint="eastAsia" w:ascii="仿宋_GB2312" w:eastAsia="仿宋_GB2312"/>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80" w:lineRule="exact"/>
        <w:jc w:val="right"/>
        <w:textAlignment w:val="auto"/>
        <w:rPr>
          <w:rFonts w:ascii="仿宋_GB2312" w:eastAsia="仿宋_GB2312"/>
          <w:color w:val="auto"/>
          <w:sz w:val="32"/>
          <w:szCs w:val="32"/>
        </w:rPr>
      </w:pPr>
      <w:r>
        <w:rPr>
          <w:rFonts w:hint="eastAsia" w:ascii="仿宋_GB2312" w:eastAsia="仿宋_GB2312"/>
          <w:color w:val="auto"/>
          <w:sz w:val="32"/>
          <w:szCs w:val="32"/>
        </w:rPr>
        <w:t>（202</w:t>
      </w:r>
      <w:r>
        <w:rPr>
          <w:rFonts w:hint="eastAsia" w:ascii="仿宋_GB2312" w:eastAsia="仿宋_GB2312"/>
          <w:color w:val="auto"/>
          <w:sz w:val="32"/>
          <w:szCs w:val="32"/>
          <w:lang w:val="en-US" w:eastAsia="zh-CN"/>
        </w:rPr>
        <w:t>6</w:t>
      </w:r>
      <w:r>
        <w:rPr>
          <w:rFonts w:hint="eastAsia" w:ascii="仿宋_GB2312" w:eastAsia="仿宋_GB2312"/>
          <w:color w:val="auto"/>
          <w:sz w:val="32"/>
          <w:szCs w:val="32"/>
        </w:rPr>
        <w:t>）豫峡狱</w:t>
      </w:r>
      <w:r>
        <w:rPr>
          <w:rFonts w:hint="eastAsia" w:ascii="仿宋_GB2312" w:eastAsia="仿宋_GB2312"/>
          <w:color w:val="auto"/>
          <w:sz w:val="32"/>
          <w:szCs w:val="32"/>
          <w:lang w:eastAsia="zh-CN"/>
        </w:rPr>
        <w:t>假</w:t>
      </w:r>
      <w:r>
        <w:rPr>
          <w:rFonts w:hint="eastAsia" w:ascii="仿宋_GB2312" w:eastAsia="仿宋_GB2312"/>
          <w:color w:val="auto"/>
          <w:sz w:val="32"/>
          <w:szCs w:val="32"/>
        </w:rPr>
        <w:t>字第</w:t>
      </w:r>
      <w:r>
        <w:rPr>
          <w:rFonts w:hint="eastAsia" w:ascii="仿宋_GB2312" w:eastAsia="仿宋_GB2312"/>
          <w:color w:val="auto"/>
          <w:sz w:val="32"/>
          <w:szCs w:val="32"/>
          <w:lang w:val="en-US" w:eastAsia="zh-CN"/>
        </w:rPr>
        <w:t>1</w:t>
      </w:r>
      <w:r>
        <w:rPr>
          <w:rFonts w:hint="eastAsia" w:ascii="仿宋_GB2312" w:eastAsia="仿宋_GB2312"/>
          <w:color w:val="auto"/>
          <w:sz w:val="32"/>
          <w:szCs w:val="32"/>
        </w:rPr>
        <w:t>号</w:t>
      </w:r>
    </w:p>
    <w:p>
      <w:pPr>
        <w:keepNext w:val="0"/>
        <w:keepLines w:val="0"/>
        <w:pageBreakBefore w:val="0"/>
        <w:widowControl w:val="0"/>
        <w:kinsoku/>
        <w:wordWrap/>
        <w:overflowPunct/>
        <w:topLinePunct w:val="0"/>
        <w:autoSpaceDE/>
        <w:autoSpaceDN/>
        <w:bidi w:val="0"/>
        <w:adjustRightInd/>
        <w:snapToGrid/>
        <w:spacing w:line="580" w:lineRule="exact"/>
        <w:ind w:firstLine="632" w:firstLineChars="200"/>
        <w:textAlignment w:val="auto"/>
        <w:rPr>
          <w:rFonts w:ascii="仿宋_GB2312" w:hAnsi="宋体" w:eastAsia="仿宋_GB2312"/>
          <w:color w:val="auto"/>
          <w:spacing w:val="-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lang w:val="en-US" w:eastAsia="zh-CN"/>
        </w:rPr>
        <w:tab/>
      </w:r>
      <w:r>
        <w:rPr>
          <w:rFonts w:hint="eastAsia" w:ascii="仿宋_GB2312" w:hAnsi="仿宋_GB2312" w:eastAsia="仿宋_GB2312" w:cs="仿宋_GB2312"/>
          <w:sz w:val="32"/>
        </w:rPr>
        <w:t>罪犯孙卿，男，1985年11月7日出生，身份证号码：410306198511070017，原户籍所在地：河南省洛阳市吉利区河阳路河阳家园14栋2单元604号，因交通肇事罪经洛阳市高新技术开发区人民法院于2024年5月16日以（2024）豫0391刑初115号刑事判决书判处有期徒刑3年2个月。原判刑期自2024年5月14日起至2027年5月19日止。于2024年7月23日送我狱服刑改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sz w:val="32"/>
        </w:rPr>
        <w:t xml:space="preserve">该犯近期确有悔改表现，具体事实如下：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rPr>
      </w:pPr>
      <w:r>
        <w:rPr>
          <w:rFonts w:hint="eastAsia" w:ascii="仿宋_GB2312" w:hAnsi="仿宋_GB2312" w:eastAsia="仿宋_GB2312" w:cs="仿宋_GB2312"/>
          <w:sz w:val="32"/>
        </w:rPr>
        <w:t>该犯在日常改造中，能够认罪服法，服从管理，遵规守纪，严格落实行为规范，积极参加三课学习和生产劳动。考核期内于</w:t>
      </w:r>
      <w:r>
        <w:rPr>
          <w:rFonts w:hint="eastAsia" w:ascii="仿宋_GB2312" w:hAnsi="仿宋_GB2312" w:eastAsia="仿宋_GB2312" w:cs="仿宋_GB2312"/>
          <w:sz w:val="32"/>
          <w:lang w:val="en-US" w:eastAsia="zh-CN"/>
        </w:rPr>
        <w:t>2025年5月、11月</w:t>
      </w:r>
      <w:r>
        <w:rPr>
          <w:rFonts w:hint="eastAsia" w:ascii="仿宋_GB2312" w:hAnsi="仿宋_GB2312" w:eastAsia="仿宋_GB2312" w:cs="仿宋_GB2312"/>
          <w:sz w:val="32"/>
        </w:rPr>
        <w:t>先后获得</w:t>
      </w:r>
      <w:r>
        <w:rPr>
          <w:rFonts w:hint="eastAsia" w:ascii="仿宋_GB2312" w:hAnsi="仿宋_GB2312" w:eastAsia="仿宋_GB2312" w:cs="仿宋_GB2312"/>
          <w:color w:val="auto"/>
          <w:sz w:val="32"/>
        </w:rPr>
        <w:t>表扬奖励</w:t>
      </w:r>
      <w:r>
        <w:rPr>
          <w:rFonts w:hint="eastAsia" w:ascii="仿宋_GB2312" w:hAnsi="仿宋_GB2312" w:eastAsia="仿宋_GB2312" w:cs="仿宋_GB2312"/>
          <w:color w:val="auto"/>
          <w:sz w:val="32"/>
          <w:lang w:val="en-US" w:eastAsia="zh-CN"/>
        </w:rPr>
        <w:t>2</w:t>
      </w:r>
      <w:r>
        <w:rPr>
          <w:rFonts w:hint="eastAsia" w:ascii="仿宋_GB2312" w:hAnsi="仿宋_GB2312" w:eastAsia="仿宋_GB2312" w:cs="仿宋_GB2312"/>
          <w:color w:val="auto"/>
          <w:sz w:val="32"/>
        </w:rPr>
        <w:t xml:space="preserve">次。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rPr>
      </w:pPr>
      <w:r>
        <w:rPr>
          <w:rFonts w:hint="eastAsia" w:ascii="仿宋_GB2312" w:hAnsi="仿宋_GB2312" w:eastAsia="仿宋_GB2312" w:cs="仿宋_GB2312"/>
          <w:color w:val="auto"/>
          <w:sz w:val="32"/>
        </w:rPr>
        <w:t>该犯能够积极参加三课学习，按时完成作业，</w:t>
      </w:r>
      <w:r>
        <w:rPr>
          <w:rFonts w:hint="eastAsia" w:ascii="仿宋_GB2312" w:hAnsi="仿宋_GB2312" w:eastAsia="仿宋_GB2312" w:cs="仿宋_GB2312"/>
          <w:sz w:val="32"/>
        </w:rPr>
        <w:t>2024年下半年思想课考试成绩为81分,技术课考试成绩为97分；2025年上半年思想课考试成绩为91分,技术课考试成绩为95分；2025年下半年思想课考试成绩为97分,技术课考试成绩为97分</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劳动改造方面，该犯作为</w:t>
      </w:r>
      <w:r>
        <w:rPr>
          <w:rFonts w:hint="eastAsia" w:ascii="仿宋_GB2312" w:hAnsi="仿宋_GB2312" w:eastAsia="仿宋_GB2312" w:cs="仿宋_GB2312"/>
          <w:sz w:val="32"/>
          <w:lang w:eastAsia="zh-CN"/>
        </w:rPr>
        <w:t>生产车间</w:t>
      </w:r>
      <w:r>
        <w:rPr>
          <w:rFonts w:hint="eastAsia" w:ascii="仿宋_GB2312" w:hAnsi="仿宋_GB2312" w:eastAsia="仿宋_GB2312" w:cs="仿宋_GB2312"/>
          <w:sz w:val="32"/>
          <w:lang w:val="en-US" w:eastAsia="zh-CN"/>
        </w:rPr>
        <w:t>缝纫工</w:t>
      </w:r>
      <w:r>
        <w:rPr>
          <w:rFonts w:hint="eastAsia" w:ascii="仿宋_GB2312" w:hAnsi="仿宋_GB2312" w:eastAsia="仿宋_GB2312" w:cs="仿宋_GB2312"/>
          <w:sz w:val="32"/>
        </w:rPr>
        <w:t>，能刻苦钻研</w:t>
      </w:r>
      <w:r>
        <w:rPr>
          <w:rFonts w:hint="eastAsia" w:ascii="仿宋_GB2312" w:hAnsi="仿宋_GB2312" w:eastAsia="仿宋_GB2312" w:cs="仿宋_GB2312"/>
          <w:sz w:val="32"/>
          <w:lang w:eastAsia="zh-CN"/>
        </w:rPr>
        <w:t>缝纫技术</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同时积极向他犯请教，努力学习生产技术和劳动技能，严格按照工艺要求进行服装生产</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按时保质保量</w:t>
      </w:r>
      <w:r>
        <w:rPr>
          <w:rFonts w:hint="eastAsia" w:ascii="仿宋_GB2312" w:hAnsi="仿宋_GB2312" w:eastAsia="仿宋_GB2312" w:cs="仿宋_GB2312"/>
          <w:sz w:val="32"/>
        </w:rPr>
        <w:t>完成</w:t>
      </w:r>
      <w:r>
        <w:rPr>
          <w:rFonts w:hint="eastAsia" w:ascii="仿宋_GB2312" w:hAnsi="仿宋_GB2312" w:eastAsia="仿宋_GB2312" w:cs="仿宋_GB2312"/>
          <w:sz w:val="32"/>
          <w:lang w:eastAsia="zh-CN"/>
        </w:rPr>
        <w:t>劳动</w:t>
      </w:r>
      <w:r>
        <w:rPr>
          <w:rFonts w:hint="eastAsia" w:ascii="仿宋_GB2312" w:hAnsi="仿宋_GB2312" w:eastAsia="仿宋_GB2312" w:cs="仿宋_GB2312"/>
          <w:sz w:val="32"/>
        </w:rPr>
        <w:t>生产任务，改造表现较好。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 w:hAnsi="仿宋" w:eastAsia="仿宋" w:cs="Microsoft New Tai Lue"/>
          <w:b/>
          <w:color w:val="auto"/>
          <w:sz w:val="32"/>
          <w:szCs w:val="32"/>
        </w:rPr>
      </w:pPr>
      <w:r>
        <w:rPr>
          <w:rFonts w:hint="eastAsia" w:ascii="仿宋_GB2312" w:hAnsi="仿宋_GB2312" w:eastAsia="仿宋_GB2312" w:cs="仿宋_GB2312"/>
          <w:color w:val="auto"/>
          <w:sz w:val="32"/>
          <w:szCs w:val="32"/>
        </w:rPr>
        <w:t>根据监狱</w:t>
      </w:r>
      <w:r>
        <w:rPr>
          <w:rFonts w:ascii="仿宋_GB2312" w:hAnsi="仿宋_GB2312" w:eastAsia="仿宋_GB2312" w:cs="仿宋_GB2312"/>
          <w:color w:val="auto"/>
          <w:sz w:val="32"/>
          <w:szCs w:val="32"/>
        </w:rPr>
        <w:t>函请</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该犯居住地社区</w:t>
      </w:r>
      <w:r>
        <w:rPr>
          <w:rFonts w:hint="eastAsia" w:ascii="仿宋_GB2312" w:hAnsi="仿宋_GB2312" w:eastAsia="仿宋_GB2312" w:cs="仿宋_GB2312"/>
          <w:color w:val="auto"/>
          <w:sz w:val="32"/>
          <w:szCs w:val="32"/>
          <w:lang w:eastAsia="zh-CN"/>
        </w:rPr>
        <w:t>洛阳市涧西区司法局社区矫正中心指派徐家营司法所</w:t>
      </w:r>
      <w:r>
        <w:rPr>
          <w:rFonts w:ascii="仿宋_GB2312" w:hAnsi="仿宋_GB2312" w:eastAsia="仿宋_GB2312" w:cs="仿宋_GB2312"/>
          <w:color w:val="auto"/>
          <w:sz w:val="32"/>
          <w:szCs w:val="32"/>
        </w:rPr>
        <w:t>对该犯</w:t>
      </w:r>
      <w:r>
        <w:rPr>
          <w:rFonts w:hint="eastAsia" w:ascii="仿宋_GB2312" w:hAnsi="仿宋_GB2312" w:eastAsia="仿宋_GB2312" w:cs="仿宋_GB2312"/>
          <w:color w:val="auto"/>
          <w:sz w:val="32"/>
          <w:szCs w:val="32"/>
        </w:rPr>
        <w:t>是否适用</w:t>
      </w:r>
      <w:r>
        <w:rPr>
          <w:rFonts w:ascii="仿宋_GB2312" w:hAnsi="仿宋_GB2312" w:eastAsia="仿宋_GB2312" w:cs="仿宋_GB2312"/>
          <w:color w:val="auto"/>
          <w:sz w:val="32"/>
          <w:szCs w:val="32"/>
        </w:rPr>
        <w:t>社区矫正进行了调查评估，</w:t>
      </w:r>
      <w:r>
        <w:rPr>
          <w:rFonts w:hint="eastAsia" w:ascii="仿宋_GB2312" w:hAnsi="仿宋_GB2312" w:eastAsia="仿宋_GB2312" w:cs="仿宋_GB2312"/>
          <w:color w:val="auto"/>
          <w:sz w:val="32"/>
          <w:szCs w:val="32"/>
        </w:rPr>
        <w:t>并于202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日</w:t>
      </w:r>
      <w:r>
        <w:rPr>
          <w:rFonts w:ascii="仿宋_GB2312" w:hAnsi="仿宋_GB2312" w:eastAsia="仿宋_GB2312" w:cs="仿宋_GB2312"/>
          <w:color w:val="auto"/>
          <w:sz w:val="32"/>
          <w:szCs w:val="32"/>
        </w:rPr>
        <w:t>作出（</w:t>
      </w: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洛涧</w:t>
      </w:r>
      <w:r>
        <w:rPr>
          <w:rFonts w:hint="eastAsia" w:ascii="仿宋_GB2312" w:hAnsi="仿宋_GB2312" w:eastAsia="仿宋_GB2312" w:cs="仿宋_GB2312"/>
          <w:color w:val="auto"/>
          <w:sz w:val="32"/>
          <w:szCs w:val="32"/>
        </w:rPr>
        <w:t>矫</w:t>
      </w:r>
      <w:r>
        <w:rPr>
          <w:rFonts w:hint="eastAsia" w:ascii="仿宋_GB2312" w:hAnsi="仿宋_GB2312" w:eastAsia="仿宋_GB2312" w:cs="仿宋_GB2312"/>
          <w:color w:val="auto"/>
          <w:sz w:val="32"/>
          <w:szCs w:val="32"/>
          <w:lang w:eastAsia="zh-CN"/>
        </w:rPr>
        <w:t>调</w:t>
      </w:r>
      <w:r>
        <w:rPr>
          <w:rFonts w:ascii="仿宋_GB2312" w:hAnsi="仿宋_GB2312" w:eastAsia="仿宋_GB2312" w:cs="仿宋_GB2312"/>
          <w:color w:val="auto"/>
          <w:sz w:val="32"/>
          <w:szCs w:val="32"/>
        </w:rPr>
        <w:t>评字第</w:t>
      </w:r>
      <w:r>
        <w:rPr>
          <w:rFonts w:hint="eastAsia" w:ascii="仿宋_GB2312" w:hAnsi="仿宋_GB2312" w:eastAsia="仿宋_GB2312" w:cs="仿宋_GB2312"/>
          <w:color w:val="auto"/>
          <w:sz w:val="32"/>
          <w:szCs w:val="32"/>
          <w:lang w:val="en-US" w:eastAsia="zh-CN"/>
        </w:rPr>
        <w:t>002</w:t>
      </w:r>
      <w:r>
        <w:rPr>
          <w:rFonts w:hint="eastAsia" w:ascii="仿宋_GB2312" w:hAnsi="仿宋_GB2312" w:eastAsia="仿宋_GB2312" w:cs="仿宋_GB2312"/>
          <w:color w:val="auto"/>
          <w:sz w:val="32"/>
          <w:szCs w:val="32"/>
        </w:rPr>
        <w:t>号</w:t>
      </w:r>
      <w:r>
        <w:rPr>
          <w:rFonts w:ascii="仿宋_GB2312" w:hAnsi="仿宋_GB2312" w:eastAsia="仿宋_GB2312" w:cs="仿宋_GB2312"/>
          <w:color w:val="auto"/>
          <w:sz w:val="32"/>
          <w:szCs w:val="32"/>
        </w:rPr>
        <w:t>调查评估意见书，</w:t>
      </w:r>
      <w:r>
        <w:rPr>
          <w:rFonts w:hint="eastAsia" w:ascii="仿宋_GB2312" w:hAnsi="仿宋_GB2312" w:eastAsia="仿宋_GB2312" w:cs="仿宋_GB2312"/>
          <w:color w:val="auto"/>
          <w:sz w:val="32"/>
          <w:szCs w:val="32"/>
        </w:rPr>
        <w:t>其</w:t>
      </w:r>
      <w:r>
        <w:rPr>
          <w:rFonts w:ascii="仿宋_GB2312" w:hAnsi="仿宋_GB2312" w:eastAsia="仿宋_GB2312" w:cs="仿宋_GB2312"/>
          <w:color w:val="auto"/>
          <w:sz w:val="32"/>
          <w:szCs w:val="32"/>
        </w:rPr>
        <w:t>评估意见</w:t>
      </w:r>
      <w:r>
        <w:rPr>
          <w:rFonts w:hint="eastAsia" w:ascii="仿宋_GB2312" w:hAnsi="仿宋_GB2312" w:eastAsia="仿宋_GB2312" w:cs="仿宋_GB2312"/>
          <w:color w:val="auto"/>
          <w:sz w:val="32"/>
          <w:szCs w:val="32"/>
        </w:rPr>
        <w:t>为</w:t>
      </w:r>
      <w:r>
        <w:rPr>
          <w:rFonts w:ascii="仿宋_GB2312" w:hAnsi="仿宋_GB2312" w:eastAsia="仿宋_GB2312" w:cs="仿宋_GB2312"/>
          <w:color w:val="auto"/>
          <w:sz w:val="32"/>
          <w:szCs w:val="32"/>
        </w:rPr>
        <w:t>：</w:t>
      </w:r>
      <w:r>
        <w:rPr>
          <w:rFonts w:hint="eastAsia" w:ascii="仿宋" w:hAnsi="仿宋" w:eastAsia="仿宋" w:cs="Microsoft New Tai Lue"/>
          <w:b/>
          <w:color w:val="auto"/>
          <w:sz w:val="32"/>
          <w:szCs w:val="32"/>
        </w:rPr>
        <w:t>“</w:t>
      </w:r>
      <w:r>
        <w:rPr>
          <w:rFonts w:hint="eastAsia" w:ascii="仿宋" w:hAnsi="仿宋" w:eastAsia="仿宋" w:cs="Microsoft New Tai Lue"/>
          <w:b/>
          <w:color w:val="auto"/>
          <w:sz w:val="32"/>
          <w:szCs w:val="32"/>
          <w:lang w:eastAsia="zh-CN"/>
        </w:rPr>
        <w:t>孙卿符合使用社区矫正的相关条件，同意其进行社区矫正</w:t>
      </w:r>
      <w:r>
        <w:rPr>
          <w:rFonts w:ascii="仿宋" w:hAnsi="仿宋" w:eastAsia="仿宋" w:cs="Microsoft New Tai Lue"/>
          <w:b/>
          <w:color w:val="auto"/>
          <w:sz w:val="32"/>
          <w:szCs w:val="32"/>
        </w:rPr>
        <w:t>。</w:t>
      </w:r>
      <w:r>
        <w:rPr>
          <w:rFonts w:hint="eastAsia" w:ascii="仿宋" w:hAnsi="仿宋" w:eastAsia="仿宋" w:cs="Microsoft New Tai Lue"/>
          <w:b/>
          <w:color w:val="auto"/>
          <w:sz w:val="32"/>
          <w:szCs w:val="32"/>
        </w:rPr>
        <w:t>”</w:t>
      </w:r>
    </w:p>
    <w:p>
      <w:pPr>
        <w:pStyle w:val="3"/>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hAnsi="仿宋_GB2312" w:cs="仿宋_GB2312"/>
          <w:color w:val="auto"/>
        </w:rPr>
      </w:pPr>
      <w:r>
        <w:rPr>
          <w:rFonts w:hint="eastAsia" w:hAnsi="仿宋_GB2312" w:cs="仿宋_GB2312"/>
          <w:color w:val="auto"/>
        </w:rPr>
        <w:t>为此，根据《中华人民共和国监狱法》第三十二条、《中华人民共和国刑法》第八十一条、《中华人民共和国刑事诉讼法》第二百七十三条第二款的规定，经分监区集体评议、监区长办公会审核后公示二日、刑罚执行科审查、监狱提请减刑假释评审委员会评审后公示五个工作日、监狱长办公会决定，并书面通报和邀请驻狱检察人员现场监督评审委员会评审活动等程序，建议对罪犯</w:t>
      </w:r>
      <w:r>
        <w:rPr>
          <w:rFonts w:hint="eastAsia" w:hAnsi="仿宋_GB2312" w:cs="仿宋_GB2312"/>
          <w:color w:val="auto"/>
          <w:lang w:eastAsia="zh-CN"/>
        </w:rPr>
        <w:t>孙卿</w:t>
      </w:r>
      <w:bookmarkStart w:id="0" w:name="_GoBack"/>
      <w:bookmarkEnd w:id="0"/>
      <w:r>
        <w:rPr>
          <w:rFonts w:hint="eastAsia" w:hAnsi="仿宋_GB2312" w:cs="仿宋_GB2312"/>
          <w:color w:val="auto"/>
        </w:rPr>
        <w:t>予以假释。特提请裁定。</w:t>
      </w:r>
    </w:p>
    <w:p>
      <w:pPr>
        <w:pStyle w:val="2"/>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outlineLvl w:val="9"/>
        <w:rPr>
          <w:rFonts w:hAnsi="仿宋_GB2312" w:cs="仿宋_GB2312"/>
          <w:color w:val="auto"/>
        </w:rPr>
      </w:pPr>
      <w:r>
        <w:rPr>
          <w:rFonts w:hint="eastAsia" w:hAnsi="仿宋_GB2312" w:cs="仿宋_GB2312"/>
          <w:color w:val="auto"/>
        </w:rPr>
        <w:t>此致</w:t>
      </w:r>
    </w:p>
    <w:p>
      <w:pPr>
        <w:pStyle w:val="3"/>
        <w:keepNext w:val="0"/>
        <w:keepLines w:val="0"/>
        <w:pageBreakBefore w:val="0"/>
        <w:widowControl w:val="0"/>
        <w:kinsoku/>
        <w:wordWrap/>
        <w:overflowPunct/>
        <w:topLinePunct w:val="0"/>
        <w:autoSpaceDE/>
        <w:autoSpaceDN/>
        <w:bidi w:val="0"/>
        <w:adjustRightInd/>
        <w:snapToGrid/>
        <w:spacing w:line="240" w:lineRule="auto"/>
        <w:ind w:left="0" w:leftChars="0"/>
        <w:textAlignment w:val="auto"/>
        <w:outlineLvl w:val="9"/>
        <w:rPr>
          <w:rFonts w:hint="eastAsia" w:hAnsi="仿宋_GB2312" w:cs="仿宋_GB2312"/>
          <w:color w:val="auto"/>
        </w:rPr>
      </w:pPr>
      <w:r>
        <w:rPr>
          <w:rFonts w:hint="eastAsia" w:hAnsi="仿宋_GB2312" w:cs="仿宋_GB2312"/>
          <w:color w:val="auto"/>
        </w:rPr>
        <w:t>三门峡市中级人民法院</w:t>
      </w: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outlineLvl w:val="9"/>
        <w:rPr>
          <w:rFonts w:hint="eastAsia" w:hAnsi="仿宋_GB2312" w:cs="仿宋_GB2312"/>
          <w:color w:val="auto"/>
          <w:lang w:val="en-US" w:eastAsia="zh-CN"/>
        </w:rPr>
      </w:pPr>
      <w:r>
        <w:rPr>
          <w:rFonts w:hint="eastAsia" w:ascii="仿宋_GB2312" w:hAnsi="仿宋_GB2312" w:eastAsia="仿宋_GB2312" w:cs="仿宋_GB2312"/>
          <w:color w:val="auto"/>
          <w:kern w:val="2"/>
          <w:sz w:val="32"/>
          <w:szCs w:val="32"/>
          <w:lang w:val="en-US" w:eastAsia="zh-CN" w:bidi="ar-SA"/>
        </w:rPr>
        <w:t>202</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年</w:t>
      </w:r>
      <w:r>
        <w:rPr>
          <w:rFonts w:hint="eastAsia" w:hAnsi="仿宋_GB2312" w:cs="仿宋_GB2312"/>
          <w:color w:val="auto"/>
          <w:kern w:val="2"/>
          <w:sz w:val="32"/>
          <w:szCs w:val="32"/>
          <w:lang w:val="en-US" w:eastAsia="zh-CN" w:bidi="ar-SA"/>
        </w:rPr>
        <w:t>5</w:t>
      </w:r>
      <w:r>
        <w:rPr>
          <w:rFonts w:hint="eastAsia" w:ascii="仿宋_GB2312" w:hAnsi="仿宋_GB2312" w:eastAsia="仿宋_GB2312" w:cs="仿宋_GB2312"/>
          <w:color w:val="auto"/>
          <w:kern w:val="2"/>
          <w:sz w:val="32"/>
          <w:szCs w:val="32"/>
          <w:lang w:val="en-US" w:eastAsia="zh-CN" w:bidi="ar-SA"/>
        </w:rPr>
        <w:t>月</w:t>
      </w:r>
      <w:r>
        <w:rPr>
          <w:rFonts w:hint="eastAsia" w:hAnsi="仿宋_GB2312" w:cs="仿宋_GB2312"/>
          <w:color w:val="auto"/>
          <w:kern w:val="2"/>
          <w:sz w:val="32"/>
          <w:szCs w:val="32"/>
          <w:lang w:val="en-US" w:eastAsia="zh-CN" w:bidi="ar-SA"/>
        </w:rPr>
        <w:t>6</w:t>
      </w:r>
      <w:r>
        <w:rPr>
          <w:rFonts w:hint="eastAsia" w:ascii="仿宋_GB2312" w:hAnsi="仿宋_GB2312" w:eastAsia="仿宋_GB2312" w:cs="仿宋_GB2312"/>
          <w:color w:val="auto"/>
          <w:kern w:val="2"/>
          <w:sz w:val="32"/>
          <w:szCs w:val="32"/>
          <w:lang w:val="en-US" w:eastAsia="zh-CN" w:bidi="ar-SA"/>
        </w:rPr>
        <w:t xml:space="preserve">日 </w:t>
      </w:r>
      <w:r>
        <w:rPr>
          <w:rFonts w:hint="eastAsia" w:hAnsi="仿宋_GB2312" w:cs="仿宋_GB2312"/>
          <w:color w:val="auto"/>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p>
    <w:p>
      <w:pPr>
        <w:pStyle w:val="3"/>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Microsoft New Tai Lue">
    <w:panose1 w:val="020B0502040204020203"/>
    <w:charset w:val="00"/>
    <w:family w:val="swiss"/>
    <w:pitch w:val="default"/>
    <w:sig w:usb0="00000003" w:usb1="00000000" w:usb2="8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k0YjFhMzJlYjI3ZjFlZmY5OTFiMzU0NmU3OGYzMGMifQ=="/>
  </w:docVars>
  <w:rsids>
    <w:rsidRoot w:val="009203AE"/>
    <w:rsid w:val="000148BD"/>
    <w:rsid w:val="000968FD"/>
    <w:rsid w:val="000F0F7C"/>
    <w:rsid w:val="00181487"/>
    <w:rsid w:val="001A429D"/>
    <w:rsid w:val="001D02AD"/>
    <w:rsid w:val="001D742D"/>
    <w:rsid w:val="00220793"/>
    <w:rsid w:val="00235278"/>
    <w:rsid w:val="003001D0"/>
    <w:rsid w:val="00316889"/>
    <w:rsid w:val="00331D36"/>
    <w:rsid w:val="00375536"/>
    <w:rsid w:val="00384C12"/>
    <w:rsid w:val="003B14A8"/>
    <w:rsid w:val="00425B16"/>
    <w:rsid w:val="004F0E4A"/>
    <w:rsid w:val="004F78EA"/>
    <w:rsid w:val="006C4CBE"/>
    <w:rsid w:val="006E09D1"/>
    <w:rsid w:val="007C3F32"/>
    <w:rsid w:val="007E44F3"/>
    <w:rsid w:val="0082433A"/>
    <w:rsid w:val="008340FB"/>
    <w:rsid w:val="008C7149"/>
    <w:rsid w:val="009203AE"/>
    <w:rsid w:val="009D7EF9"/>
    <w:rsid w:val="00A41F55"/>
    <w:rsid w:val="00B25201"/>
    <w:rsid w:val="00B3450C"/>
    <w:rsid w:val="00B617CD"/>
    <w:rsid w:val="00B65518"/>
    <w:rsid w:val="00BE625C"/>
    <w:rsid w:val="00CC2806"/>
    <w:rsid w:val="00CE5A0D"/>
    <w:rsid w:val="00D04FCE"/>
    <w:rsid w:val="00D052DF"/>
    <w:rsid w:val="00D54493"/>
    <w:rsid w:val="00DA6BDD"/>
    <w:rsid w:val="00DE5C22"/>
    <w:rsid w:val="00DF26E6"/>
    <w:rsid w:val="00E52716"/>
    <w:rsid w:val="00E7779F"/>
    <w:rsid w:val="00EF7457"/>
    <w:rsid w:val="00FD50A0"/>
    <w:rsid w:val="01C84AE7"/>
    <w:rsid w:val="039F0AAF"/>
    <w:rsid w:val="03A26FBD"/>
    <w:rsid w:val="03B409DD"/>
    <w:rsid w:val="054C2B86"/>
    <w:rsid w:val="06BB3B94"/>
    <w:rsid w:val="09091D4D"/>
    <w:rsid w:val="0ADD081A"/>
    <w:rsid w:val="0C7C4062"/>
    <w:rsid w:val="0D8D54D4"/>
    <w:rsid w:val="0F283AAF"/>
    <w:rsid w:val="0F9B00F7"/>
    <w:rsid w:val="0FCC0C78"/>
    <w:rsid w:val="10DB3A4D"/>
    <w:rsid w:val="11077CA3"/>
    <w:rsid w:val="12543824"/>
    <w:rsid w:val="129D7210"/>
    <w:rsid w:val="13D451FC"/>
    <w:rsid w:val="15007F26"/>
    <w:rsid w:val="175E0006"/>
    <w:rsid w:val="17BA1818"/>
    <w:rsid w:val="17DF189D"/>
    <w:rsid w:val="183C74C7"/>
    <w:rsid w:val="18E4369C"/>
    <w:rsid w:val="19452F0F"/>
    <w:rsid w:val="1C176A6A"/>
    <w:rsid w:val="214354C6"/>
    <w:rsid w:val="219051CD"/>
    <w:rsid w:val="2209588F"/>
    <w:rsid w:val="229D0946"/>
    <w:rsid w:val="23BB2620"/>
    <w:rsid w:val="23F31B61"/>
    <w:rsid w:val="245108A5"/>
    <w:rsid w:val="24E71EFA"/>
    <w:rsid w:val="251057BA"/>
    <w:rsid w:val="268D30ED"/>
    <w:rsid w:val="27391076"/>
    <w:rsid w:val="27B66332"/>
    <w:rsid w:val="2B6C4E97"/>
    <w:rsid w:val="2BA6170E"/>
    <w:rsid w:val="2CA239DB"/>
    <w:rsid w:val="2D036B1D"/>
    <w:rsid w:val="2D547854"/>
    <w:rsid w:val="2EF70808"/>
    <w:rsid w:val="2EF7509E"/>
    <w:rsid w:val="31081589"/>
    <w:rsid w:val="31CE5ECA"/>
    <w:rsid w:val="32FC580F"/>
    <w:rsid w:val="33A146B4"/>
    <w:rsid w:val="346E77C2"/>
    <w:rsid w:val="36883480"/>
    <w:rsid w:val="373369EA"/>
    <w:rsid w:val="37863AD9"/>
    <w:rsid w:val="38364708"/>
    <w:rsid w:val="3AF42518"/>
    <w:rsid w:val="3F0B2B9F"/>
    <w:rsid w:val="41170674"/>
    <w:rsid w:val="43032FDB"/>
    <w:rsid w:val="459D5FF7"/>
    <w:rsid w:val="462F7C2E"/>
    <w:rsid w:val="4B1A3F60"/>
    <w:rsid w:val="4DED405F"/>
    <w:rsid w:val="4E002973"/>
    <w:rsid w:val="4E177BCF"/>
    <w:rsid w:val="4FD600B2"/>
    <w:rsid w:val="4FE5431F"/>
    <w:rsid w:val="50B33739"/>
    <w:rsid w:val="50B42F9C"/>
    <w:rsid w:val="527D5F08"/>
    <w:rsid w:val="540C679B"/>
    <w:rsid w:val="57F22119"/>
    <w:rsid w:val="586202B9"/>
    <w:rsid w:val="58FC44E0"/>
    <w:rsid w:val="59EA2EB2"/>
    <w:rsid w:val="5A5E02AD"/>
    <w:rsid w:val="5DB20BA2"/>
    <w:rsid w:val="5F2E6577"/>
    <w:rsid w:val="606D2A7F"/>
    <w:rsid w:val="62BA0AE5"/>
    <w:rsid w:val="639C156E"/>
    <w:rsid w:val="641A2E54"/>
    <w:rsid w:val="64823B61"/>
    <w:rsid w:val="689442F4"/>
    <w:rsid w:val="68BA4257"/>
    <w:rsid w:val="699C20EE"/>
    <w:rsid w:val="712E03B7"/>
    <w:rsid w:val="71A508AD"/>
    <w:rsid w:val="74B42178"/>
    <w:rsid w:val="778B0312"/>
    <w:rsid w:val="78481056"/>
    <w:rsid w:val="78D422C8"/>
    <w:rsid w:val="79432D8A"/>
    <w:rsid w:val="79AA277E"/>
    <w:rsid w:val="7D7068D1"/>
    <w:rsid w:val="7E304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仿宋_GB2312" w:eastAsia="仿宋_GB2312" w:hAnsiTheme="minorHAnsi" w:cstheme="minorBidi"/>
      <w:sz w:val="32"/>
      <w:szCs w:val="32"/>
    </w:rPr>
  </w:style>
  <w:style w:type="paragraph" w:styleId="3">
    <w:name w:val="Closing"/>
    <w:basedOn w:val="1"/>
    <w:link w:val="11"/>
    <w:qFormat/>
    <w:uiPriority w:val="0"/>
    <w:pPr>
      <w:ind w:left="100" w:leftChars="2100"/>
    </w:pPr>
    <w:rPr>
      <w:rFonts w:ascii="仿宋_GB2312" w:eastAsia="仿宋_GB2312" w:hAnsiTheme="minorHAnsi" w:cstheme="minorBidi"/>
      <w:sz w:val="32"/>
      <w:szCs w:val="32"/>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qFormat/>
    <w:uiPriority w:val="99"/>
    <w:rPr>
      <w:sz w:val="18"/>
      <w:szCs w:val="18"/>
    </w:rPr>
  </w:style>
  <w:style w:type="character" w:customStyle="1" w:styleId="10">
    <w:name w:val="称呼 字符"/>
    <w:link w:val="2"/>
    <w:qFormat/>
    <w:uiPriority w:val="0"/>
    <w:rPr>
      <w:rFonts w:ascii="仿宋_GB2312" w:eastAsia="仿宋_GB2312"/>
      <w:sz w:val="32"/>
      <w:szCs w:val="32"/>
    </w:rPr>
  </w:style>
  <w:style w:type="character" w:customStyle="1" w:styleId="11">
    <w:name w:val="结束语 字符"/>
    <w:link w:val="3"/>
    <w:qFormat/>
    <w:uiPriority w:val="0"/>
    <w:rPr>
      <w:rFonts w:ascii="仿宋_GB2312" w:eastAsia="仿宋_GB2312"/>
      <w:sz w:val="32"/>
      <w:szCs w:val="32"/>
    </w:rPr>
  </w:style>
  <w:style w:type="character" w:customStyle="1" w:styleId="12">
    <w:name w:val="结束语 字符1"/>
    <w:basedOn w:val="7"/>
    <w:semiHidden/>
    <w:qFormat/>
    <w:uiPriority w:val="99"/>
    <w:rPr>
      <w:rFonts w:ascii="Times New Roman" w:hAnsi="Times New Roman" w:eastAsia="宋体" w:cs="Times New Roman"/>
      <w:szCs w:val="20"/>
    </w:rPr>
  </w:style>
  <w:style w:type="character" w:customStyle="1" w:styleId="13">
    <w:name w:val="称呼 字符1"/>
    <w:basedOn w:val="7"/>
    <w:semiHidden/>
    <w:qFormat/>
    <w:uiPriority w:val="99"/>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778</Words>
  <Characters>859</Characters>
  <Lines>7</Lines>
  <Paragraphs>2</Paragraphs>
  <TotalTime>3</TotalTime>
  <ScaleCrop>false</ScaleCrop>
  <LinksUpToDate>false</LinksUpToDate>
  <CharactersWithSpaces>936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2022-01-25T23:49:00Z</dcterms:created>
  <dc:creator>Administrator</dc:creator>
  <cp:lastModifiedBy>Administrator</cp:lastModifiedBy>
  <cp:lastPrinted>2025-10-27T08:27:00Z</cp:lastPrinted>
  <dcterms:modified xsi:type="dcterms:W3CDTF">2026-04-29T09:42:39Z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030E4BCAD14F483E8B2911E418DB5A34</vt:lpwstr>
  </property>
</Properties>
</file>